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before="600"/>
        <w:jc w:val="center"/>
      </w:pPr>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spacing w:after="60" w:before="200"/>
        <w:jc w:val="center"/>
      </w:pPr>
      <w:r>
        <w:rPr>
          <w:rFonts w:ascii="Arial" w:cs="Arial" w:eastAsia="Arial" w:hAnsi="Arial"/>
          <w:b/>
          <w:bCs/>
          <w:color w:val="1A1A2E"/>
          <w:sz w:val="48"/>
          <w:szCs w:val="48"/>
        </w:rPr>
        <w:t xml:space="preserve">CONSENT COMPLIANCE ASSESSMENT</w:t>
      </w:r>
    </w:p>
    <w:p>
      <w:pPr>
        <w:spacing w:after="120" w:before="60"/>
        <w:jc w:val="center"/>
      </w:pPr>
      <w:r>
        <w:rPr>
          <w:rFonts w:ascii="Arial" w:cs="Arial" w:eastAsia="Arial" w:hAnsi="Arial"/>
          <w:b/>
          <w:bCs/>
          <w:color w:val="D97706"/>
          <w:sz w:val="22"/>
          <w:szCs w:val="22"/>
        </w:rPr>
        <w:t xml:space="preserve">BETA TEST RELEASE</w:t>
      </w:r>
    </w:p>
    <w:p>
      <w:pPr>
        <w:spacing w:after="120" w:before="120"/>
        <w:jc w:val="center"/>
      </w:pPr>
      <w:r>
        <w:rPr>
          <w:rFonts w:ascii="Arial" w:cs="Arial" w:eastAsia="Arial" w:hAnsi="Arial"/>
          <w:color w:val="2980B9"/>
          <w:sz w:val="28"/>
          <w:szCs w:val="28"/>
        </w:rPr>
        <w:t xml:space="preserve">https://www.manchestereveningnews.co.uk/</w:t>
      </w:r>
    </w:p>
    <w:p>
      <w:pPr>
        <w:spacing w:after="60" w:before="60"/>
        <w:jc w:val="center"/>
      </w:pPr>
      <w:r>
        <w:rPr>
          <w:rFonts w:ascii="Arial" w:cs="Arial" w:eastAsia="Arial" w:hAnsi="Arial"/>
          <w:color w:val="555555"/>
          <w:sz w:val="22"/>
          <w:szCs w:val="22"/>
        </w:rPr>
        <w:t xml:space="preserve">Test date: 2026-04-01</w:t>
      </w:r>
    </w:p>
    <w:p>
      <w:pPr>
        <w:spacing w:after="480" w:before="60"/>
        <w:jc w:val="center"/>
      </w:pPr>
      <w:r>
        <w:rPr>
          <w:rFonts w:ascii="Arial" w:cs="Arial" w:eastAsia="Arial" w:hAnsi="Arial"/>
          <w:color w:val="555555"/>
          <w:sz w:val="22"/>
          <w:szCs w:val="22"/>
        </w:rPr>
        <w:t xml:space="preserve">CMP: OneTrust</w:t>
      </w:r>
    </w:p>
    <w:p>
      <w:pPr>
        <w:spacing w:after="60" w:before="0"/>
        <w:jc w:val="center"/>
      </w:pPr>
      <w:r>
        <w:rPr>
          <w:rFonts w:ascii="Arial" w:cs="Arial" w:eastAsia="Arial" w:hAnsi="Arial"/>
          <w:b/>
          <w:bCs/>
          <w:color w:val="C0392B"/>
          <w:sz w:val="36"/>
          <w:szCs w:val="36"/>
        </w:rPr>
        <w:t xml:space="preserve">20 FAIL</w:t>
      </w:r>
      <w:r>
        <w:rPr>
          <w:rFonts w:ascii="Arial" w:cs="Arial" w:eastAsia="Arial" w:hAnsi="Arial"/>
          <w:color w:val="999999"/>
          <w:sz w:val="36"/>
          <w:szCs w:val="36"/>
        </w:rPr>
        <w:t xml:space="preserve">  ·  </w:t>
      </w:r>
      <w:r>
        <w:rPr>
          <w:rFonts w:ascii="Arial" w:cs="Arial" w:eastAsia="Arial" w:hAnsi="Arial"/>
          <w:b/>
          <w:bCs/>
          <w:color w:val="27AE60"/>
          <w:sz w:val="36"/>
          <w:szCs w:val="36"/>
        </w:rPr>
        <w:t xml:space="preserve">7 PASS</w:t>
      </w:r>
      <w:r>
        <w:rPr>
          <w:rFonts w:ascii="Arial" w:cs="Arial" w:eastAsia="Arial" w:hAnsi="Arial"/>
          <w:color w:val="999999"/>
          <w:sz w:val="36"/>
          <w:szCs w:val="36"/>
        </w:rPr>
        <w:t xml:space="preserve">  ·  </w:t>
      </w:r>
      <w:r>
        <w:rPr>
          <w:rFonts w:ascii="Arial" w:cs="Arial" w:eastAsia="Arial" w:hAnsi="Arial"/>
          <w:b/>
          <w:bCs/>
          <w:color w:val="7F8C8D"/>
          <w:sz w:val="36"/>
          <w:szCs w:val="36"/>
        </w:rPr>
        <w:t xml:space="preserve">10 MANUAL</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1. Executive Summary</w:t>
      </w:r>
    </w:p>
    <w:p>
      <w:pPr>
        <w:spacing w:after="60" w:before="60"/>
      </w:pPr>
      <w:r>
        <w:rPr>
          <w:rFonts w:ascii="Arial" w:cs="Arial" w:eastAsia="Arial" w:hAnsi="Arial"/>
          <w:b w:val="false"/>
          <w:bCs w:val="false"/>
          <w:color w:val="333333"/>
          <w:sz w:val="22"/>
          <w:szCs w:val="22"/>
        </w:rPr>
        <w:t xml:space="preserve">Automated consent compliance testing identified 20 violations on https://www.manchestereveningnews.co.uk/. Manual review of remaining items is recommended.</w:t>
      </w:r>
    </w:p>
    <w:p/>
    <w:p>
      <w:pPr>
        <w:pStyle w:val="Heading1"/>
        <w:pBdr>
          <w:bottom w:val="single" w:color="1A1A2E" w:sz="2"/>
        </w:pBdr>
        <w:spacing w:after="180" w:before="360"/>
      </w:pPr>
      <w:r>
        <w:rPr>
          <w:rFonts w:ascii="Arial" w:cs="Arial" w:eastAsia="Arial" w:hAnsi="Arial"/>
          <w:b/>
          <w:bCs/>
          <w:color w:val="1A1A2E"/>
          <w:sz w:val="28"/>
          <w:szCs w:val="28"/>
        </w:rPr>
        <w:t xml:space="preserve">2. Consent State Screenshots</w:t>
      </w:r>
    </w:p>
    <w:p>
      <w:pPr>
        <w:spacing w:after="60" w:before="60"/>
      </w:pPr>
      <w:r>
        <w:rPr>
          <w:rFonts w:ascii="Arial" w:cs="Arial" w:eastAsia="Arial" w:hAnsi="Arial"/>
          <w:b w:val="false"/>
          <w:bCs w:val="false"/>
          <w:color w:val="555555"/>
          <w:sz w:val="22"/>
          <w:szCs w:val="22"/>
        </w:rPr>
        <w:t xml:space="preserve">Captured automatically. Assessed by AI for K.1/K.2/K.3 UX compliance.</w:t>
      </w:r>
    </w:p>
    <w:p/>
    <w:p>
      <w:pPr>
        <w:spacing w:after="60" w:before="60"/>
      </w:pPr>
      <w:r>
        <w:rPr>
          <w:rFonts w:ascii="Arial" w:cs="Arial" w:eastAsia="Arial" w:hAnsi="Arial"/>
          <w:b/>
          <w:bCs/>
          <w:color w:val="555555"/>
          <w:sz w:val="22"/>
          <w:szCs w:val="22"/>
        </w:rPr>
        <w:t xml:space="preserve">Layer 1 — Initial banner (before interaction)</w:t>
      </w:r>
    </w:p>
    <w:p>
      <w:pPr>
        <w:spacing w:after="120" w:before="60"/>
      </w:pPr>
      <w:r>
        <w:drawing>
          <wp:inline distT="0" distB="0" distL="0" distR="0">
            <wp:extent cx="4572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572000" cy="2857500"/>
                    </a:xfrm>
                    <a:prstGeom prst="rect">
                      <a:avLst/>
                    </a:prstGeom>
                  </pic:spPr>
                </pic:pic>
              </a:graphicData>
            </a:graphic>
          </wp:inline>
        </w:drawing>
      </w:r>
    </w:p>
    <w:p>
      <w:pPr>
        <w:spacing w:after="60" w:before="60"/>
      </w:pPr>
      <w:r>
        <w:rPr>
          <w:rFonts w:ascii="Arial" w:cs="Arial" w:eastAsia="Arial" w:hAnsi="Arial"/>
          <w:b/>
          <w:bCs/>
          <w:color w:val="555555"/>
          <w:sz w:val="22"/>
          <w:szCs w:val="22"/>
        </w:rPr>
        <w:t xml:space="preserve">Layer 2 — After Accept All (consent baseline)</w:t>
      </w:r>
    </w:p>
    <w:p>
      <w:pPr>
        <w:spacing w:after="120" w:before="60"/>
      </w:pPr>
      <w:r>
        <w:drawing>
          <wp:inline distT="0" distB="0" distL="0" distR="0">
            <wp:extent cx="4572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572000" cy="2857500"/>
                    </a:xfrm>
                    <a:prstGeom prst="rect">
                      <a:avLst/>
                    </a:prstGeom>
                  </pic:spPr>
                </pic:pic>
              </a:graphicData>
            </a:graphic>
          </wp:inline>
        </w:drawing>
      </w:r>
    </w:p>
    <w:p>
      <w:pPr>
        <w:spacing w:after="60" w:before="60"/>
      </w:pPr>
      <w:r>
        <w:rPr>
          <w:rFonts w:ascii="Arial" w:cs="Arial" w:eastAsia="Arial" w:hAnsi="Arial"/>
          <w:b/>
          <w:bCs/>
          <w:color w:val="555555"/>
          <w:sz w:val="22"/>
          <w:szCs w:val="22"/>
        </w:rPr>
        <w:t xml:space="preserve">After Reject All (post-rejection state)</w:t>
      </w:r>
    </w:p>
    <w:p>
      <w:pPr>
        <w:spacing w:after="120" w:before="60"/>
      </w:pPr>
      <w:r>
        <w:drawing>
          <wp:inline distT="0" distB="0" distL="0" distR="0">
            <wp:extent cx="4572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572000" cy="2857500"/>
                    </a:xfrm>
                    <a:prstGeom prst="rect">
                      <a:avLst/>
                    </a:prstGeom>
                  </pic:spPr>
                </pic:pic>
              </a:graphicData>
            </a:graphic>
          </wp:inline>
        </w:drawing>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3. Methodology</w:t>
      </w:r>
    </w:p>
    <w:p>
      <w:pPr>
        <w:spacing w:after="60" w:before="60"/>
      </w:pPr>
      <w:r>
        <w:rPr>
          <w:rFonts w:ascii="Arial" w:cs="Arial" w:eastAsia="Arial" w:hAnsi="Arial"/>
          <w:b w:val="false"/>
          <w:bCs w:val="false"/>
          <w:color w:val="333333"/>
          <w:sz w:val="22"/>
          <w:szCs w:val="22"/>
        </w:rPr>
        <w:t xml:space="preserve">Conducted using Waivern Consent Analyser (C1: HAR network analysis; C2: Playwright browser automation; C3: AI compliance analysis). Three phases: Accept All, Reject All, persistence check. Framework: ePrivacy Art. 5(3), GDPR Arts. 6/7/25, Datatilsynet guidance.</w:t>
      </w:r>
    </w:p>
    <w:p/>
    <w:tbl>
      <w:tblPr>
        <w:tblW w:type="dxa" w:w="9386"/>
        <w:tblBorders>
          <w:top w:val="single" w:color="auto" w:sz="4"/>
          <w:left w:val="single" w:color="auto" w:sz="4"/>
          <w:bottom w:val="single" w:color="auto" w:sz="4"/>
          <w:right w:val="single" w:color="auto" w:sz="4"/>
          <w:insideH w:val="single" w:color="auto" w:sz="4"/>
          <w:insideV w:val="single" w:color="auto" w:sz="4"/>
        </w:tblBorders>
      </w:tblPr>
      <w:tblGrid>
        <w:gridCol w:w="3000"/>
        <w:gridCol w:w="6386"/>
      </w:tblGrid>
      <w:tr>
        <w:trPr>
          <w:tblHeader/>
        </w:trPr>
        <w:tc>
          <w:tcPr>
            <w:tcW w:type="dxa" w:w="30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Parameter</w:t>
            </w:r>
          </w:p>
        </w:tc>
        <w:tc>
          <w:tcPr>
            <w:tcW w:type="dxa" w:w="6386"/>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Value</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Target URL</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https://www.manchestereveningnews.co.uk/</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Test Date</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2026-04-01</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Analysis Framework</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Probe Location</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 Santa Clara, California, United States (52.52.202.228) — Amazon.com, Inc.</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CMP Platform</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OneTrust</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Accept Button</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"Accept"</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Reject Button</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(0 clicks)</w:t>
            </w:r>
          </w:p>
        </w:tc>
      </w:tr>
    </w:tbl>
    <w:p/>
    <w:p>
      <w:pPr>
        <w:pBdr>
          <w:top w:val="single" w:color="E6C96A" w:sz="1"/>
          <w:bottom w:val="single" w:color="E6C96A" w:sz="1"/>
          <w:left w:val="single" w:color="E67E22" w:sz="6"/>
          <w:right w:val="single" w:color="E6C96A" w:sz="1"/>
        </w:pBdr>
        <w:shd w:fill="FFF3CD" w:val="clear"/>
        <w:spacing w:after="120" w:before="120"/>
        <w:ind w:left="120" w:right="120"/>
      </w:pPr>
      <w:r>
        <w:rPr>
          <w:rFonts w:ascii="Arial" w:cs="Arial" w:eastAsia="Arial" w:hAnsi="Arial"/>
          <w:i/>
          <w:iCs/>
          <w:color w:val="856404"/>
          <w:sz w:val="20"/>
          <w:szCs w:val="20"/>
        </w:rPr>
        <w:t xml:space="preserve">⚠️  Important: Results reflect how https://www.manchestereveningnews.co.uk/ presents to the probe location (Santa Clara, California, United States (52.52.202.228) — Amazon.com, Inc.). Sites may show different consent controls to users in different jurisdictions (e.g. GDPR banners only to EU IPs; CCPA opt-out links only to California IPs). Re-run from a different location to test geo-specific behaviour.</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4. Summary of Findings</w:t>
      </w:r>
    </w:p>
    <w:tbl>
      <w:tblPr>
        <w:tblW w:type="dxa" w:w="7380"/>
        <w:tblBorders>
          <w:top w:val="single" w:color="auto" w:sz="4"/>
          <w:left w:val="single" w:color="auto" w:sz="4"/>
          <w:bottom w:val="single" w:color="auto" w:sz="4"/>
          <w:right w:val="single" w:color="auto" w:sz="4"/>
          <w:insideH w:val="single" w:color="auto" w:sz="4"/>
          <w:insideV w:val="single" w:color="auto" w:sz="4"/>
        </w:tblBorders>
      </w:tblPr>
      <w:tblGrid>
        <w:gridCol w:w="5580"/>
        <w:gridCol w:w="1800"/>
      </w:tblGrid>
      <w:tr>
        <w:trPr>
          <w:tblHeader/>
        </w:trPr>
        <w:tc>
          <w:tcPr>
            <w:tcW w:type="dxa" w:w="558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Category</w:t>
            </w:r>
          </w:p>
        </w:tc>
        <w:tc>
          <w:tcPr>
            <w:tcW w:type="dxa" w:w="18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Result</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Pre Consent Clean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Tracking Cookies Pre Consent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Tracker Globals Undefined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Tracking Storage Pre Consent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Network Blocked After Decline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MANUAL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Third Party Cookies Absent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MANUAL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Doc Cookie Clean Post Reject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Web Storage Clean Post Reject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First Party Cookies Classified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INFO</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Server Side Cookies Gated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NOT_RUN</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Cname Cloaking</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Tracker Globals Absent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Dom Scripts Blocked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Reject Equals Accept Clicks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Preticked Boxes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MANUAL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Persistent Withdrawal Widget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Cookie Wall</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Consent Persists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bl>
    <w:p>
      <w:r>
        <w:br w:type="page"/>
      </w:r>
    </w:p>
    <w:p>
      <w:pPr>
        <w:pStyle w:val="Heading1"/>
        <w:pBdr>
          <w:bottom w:val="single" w:color="1A1A2E" w:sz="2"/>
        </w:pBdr>
        <w:spacing w:after="180" w:before="360"/>
      </w:pPr>
      <w:r>
        <w:rPr>
          <w:rFonts w:ascii="Arial" w:cs="Arial" w:eastAsia="Arial" w:hAnsi="Arial"/>
          <w:b/>
          <w:bCs/>
          <w:color w:val="1A1A2E"/>
          <w:sz w:val="28"/>
          <w:szCs w:val="28"/>
        </w:rPr>
        <w:t xml:space="preserve">5. Detailed Findings</w:t>
      </w:r>
    </w:p>
    <w:p>
      <w:pPr>
        <w:pStyle w:val="Heading2"/>
        <w:spacing w:after="120" w:before="280"/>
      </w:pPr>
      <w:r>
        <w:rPr>
          <w:rFonts w:ascii="Arial" w:cs="Arial" w:eastAsia="Arial" w:hAnsi="Arial"/>
          <w:b/>
          <w:bCs/>
          <w:color w:val="C0392B"/>
          <w:sz w:val="24"/>
          <w:szCs w:val="24"/>
        </w:rPr>
        <w:t xml:space="preserve">5.1 High Risk</w:t>
      </w:r>
    </w:p>
    <w:p>
      <w:pPr>
        <w:spacing w:after="60" w:before="200"/>
      </w:pPr>
      <w:r>
        <w:rPr>
          <w:rFonts w:ascii="Arial" w:cs="Arial" w:eastAsia="Arial" w:hAnsi="Arial"/>
          <w:b/>
          <w:bCs/>
          <w:color w:val="C0392B"/>
          <w:sz w:val="22"/>
          <w:szCs w:val="22"/>
        </w:rPr>
        <w:t xml:space="preserve">B.1  </w:t>
      </w:r>
      <w:r>
        <w:rPr>
          <w:rFonts w:ascii="Arial" w:cs="Arial" w:eastAsia="Arial" w:hAnsi="Arial"/>
          <w:b/>
          <w:bCs/>
          <w:sz w:val="22"/>
          <w:szCs w:val="22"/>
        </w:rPr>
        <w:t xml:space="preserve">No tracking requests before consent banner interaction</w:t>
      </w:r>
    </w:p>
    <w:p>
      <w:pPr>
        <w:spacing w:after="60" w:before="60"/>
      </w:pPr>
      <w:r>
        <w:rPr>
          <w:rFonts w:ascii="Arial" w:cs="Arial" w:eastAsia="Arial" w:hAnsi="Arial"/>
          <w:b w:val="false"/>
          <w:bCs w:val="false"/>
          <w:color w:val="333333"/>
          <w:sz w:val="22"/>
          <w:szCs w:val="22"/>
        </w:rPr>
        <w:t xml:space="preserve">45 tracking domain(s) made requests before any consent signal was recorded.</w:t>
      </w:r>
    </w:p>
    <w:p>
      <w:pPr>
        <w:spacing w:after="120" w:before="60"/>
      </w:pPr>
      <w:r>
        <w:rPr>
          <w:rFonts w:ascii="Arial" w:cs="Arial" w:eastAsia="Arial" w:hAnsi="Arial"/>
          <w:b/>
          <w:bCs/>
          <w:sz w:val="20"/>
          <w:szCs w:val="20"/>
        </w:rPr>
        <w:t xml:space="preserve">Remediation: Third-party analytics and advertising scripts must not be loaded until after affirmative consent. Implement a consent-gate that defers all non-essential script initialisation until the TCF API reports a positive consent decision.</w:t>
      </w:r>
    </w:p>
    <w:p>
      <w:pPr>
        <w:pBdr>
          <w:bottom w:val="single" w:color="DDDDDD" w:sz="1"/>
        </w:pBdr>
      </w:pPr>
    </w:p>
    <w:p>
      <w:pPr>
        <w:spacing w:after="60" w:before="200"/>
      </w:pPr>
      <w:r>
        <w:rPr>
          <w:rFonts w:ascii="Arial" w:cs="Arial" w:eastAsia="Arial" w:hAnsi="Arial"/>
          <w:b/>
          <w:bCs/>
          <w:color w:val="C0392B"/>
          <w:sz w:val="22"/>
          <w:szCs w:val="22"/>
        </w:rPr>
        <w:t xml:space="preserve">B.2  </w:t>
      </w:r>
      <w:r>
        <w:rPr>
          <w:rFonts w:ascii="Arial" w:cs="Arial" w:eastAsia="Arial" w:hAnsi="Arial"/>
          <w:b/>
          <w:bCs/>
          <w:sz w:val="22"/>
          <w:szCs w:val="22"/>
        </w:rPr>
        <w:t xml:space="preserve">No analytics/marketing cookies in Storage pre-consent</w:t>
      </w:r>
    </w:p>
    <w:p>
      <w:pPr>
        <w:spacing w:after="60" w:before="60"/>
      </w:pPr>
      <w:r>
        <w:rPr>
          <w:rFonts w:ascii="Arial" w:cs="Arial" w:eastAsia="Arial" w:hAnsi="Arial"/>
          <w:b w:val="false"/>
          <w:bCs w:val="false"/>
          <w:color w:val="333333"/>
          <w:sz w:val="22"/>
          <w:szCs w:val="22"/>
        </w:rPr>
        <w:t xml:space="preserve">3 advertising cookie(s) present in browser storage before any consent was given.</w:t>
      </w:r>
    </w:p>
    <w:p>
      <w:pPr>
        <w:spacing w:after="120" w:before="60"/>
      </w:pPr>
      <w:r>
        <w:rPr>
          <w:rFonts w:ascii="Arial" w:cs="Arial" w:eastAsia="Arial" w:hAnsi="Arial"/>
          <w:b/>
          <w:bCs/>
          <w:sz w:val="20"/>
          <w:szCs w:val="20"/>
        </w:rPr>
        <w:t xml:space="preserve">Remediation: Advertising and analytics cookies must not be set until after the user has given affirmative consent. Verify server-side Set-Cookie logic does not fire before the consent signal is received.</w:t>
      </w:r>
    </w:p>
    <w:p>
      <w:pPr>
        <w:pBdr>
          <w:bottom w:val="single" w:color="DDDDDD" w:sz="1"/>
        </w:pBdr>
      </w:pPr>
    </w:p>
    <w:p>
      <w:pPr>
        <w:spacing w:after="60" w:before="200"/>
      </w:pPr>
      <w:r>
        <w:rPr>
          <w:rFonts w:ascii="Arial" w:cs="Arial" w:eastAsia="Arial" w:hAnsi="Arial"/>
          <w:b/>
          <w:bCs/>
          <w:color w:val="C0392B"/>
          <w:sz w:val="22"/>
          <w:szCs w:val="22"/>
        </w:rPr>
        <w:t xml:space="preserve">B.3  </w:t>
      </w:r>
      <w:r>
        <w:rPr>
          <w:rFonts w:ascii="Arial" w:cs="Arial" w:eastAsia="Arial" w:hAnsi="Arial"/>
          <w:b/>
          <w:bCs/>
          <w:sz w:val="22"/>
          <w:szCs w:val="22"/>
        </w:rPr>
        <w:t xml:space="preserve">JS tracker globals return undefined pre-consent</w:t>
      </w:r>
    </w:p>
    <w:p>
      <w:pPr>
        <w:spacing w:after="60" w:before="60"/>
      </w:pPr>
      <w:r>
        <w:rPr>
          <w:rFonts w:ascii="Arial" w:cs="Arial" w:eastAsia="Arial" w:hAnsi="Arial"/>
          <w:b w:val="false"/>
          <w:bCs w:val="false"/>
          <w:color w:val="333333"/>
          <w:sz w:val="22"/>
          <w:szCs w:val="22"/>
        </w:rPr>
        <w:t xml:space="preserve">Tracker globals defined before consent: ['gtag', 'google_tag_manager', 'amplitude']</w:t>
      </w:r>
    </w:p>
    <w:p>
      <w:pPr>
        <w:spacing w:after="120" w:before="60"/>
      </w:pPr>
      <w:r>
        <w:rPr>
          <w:rFonts w:ascii="Arial" w:cs="Arial" w:eastAsia="Arial" w:hAnsi="Arial"/>
          <w:b/>
          <w:bCs/>
          <w:sz w:val="20"/>
          <w:szCs w:val="20"/>
        </w:rPr>
        <w:t xml:space="preserve">Remediation: Tracker initialisation scripts must not execute before consent. Implement a consent gate that loads tracker SDKs only after the TCF API confirms a positive decision.</w:t>
      </w:r>
    </w:p>
    <w:p>
      <w:pPr>
        <w:pBdr>
          <w:bottom w:val="single" w:color="DDDDDD" w:sz="1"/>
        </w:pBdr>
      </w:pPr>
    </w:p>
    <w:p>
      <w:pPr>
        <w:spacing w:after="60" w:before="200"/>
      </w:pPr>
      <w:r>
        <w:rPr>
          <w:rFonts w:ascii="Arial" w:cs="Arial" w:eastAsia="Arial" w:hAnsi="Arial"/>
          <w:b/>
          <w:bCs/>
          <w:color w:val="C0392B"/>
          <w:sz w:val="22"/>
          <w:szCs w:val="22"/>
        </w:rPr>
        <w:t xml:space="preserve">B.4  </w:t>
      </w:r>
      <w:r>
        <w:rPr>
          <w:rFonts w:ascii="Arial" w:cs="Arial" w:eastAsia="Arial" w:hAnsi="Arial"/>
          <w:b/>
          <w:bCs/>
          <w:sz w:val="22"/>
          <w:szCs w:val="22"/>
        </w:rPr>
        <w:t xml:space="preserve">No tracking identifiers in localStorage/sessionStorage pre-consent</w:t>
      </w:r>
    </w:p>
    <w:p>
      <w:pPr>
        <w:spacing w:after="60" w:before="60"/>
      </w:pPr>
      <w:r>
        <w:rPr>
          <w:rFonts w:ascii="Arial" w:cs="Arial" w:eastAsia="Arial" w:hAnsi="Arial"/>
          <w:b w:val="false"/>
          <w:bCs w:val="false"/>
          <w:color w:val="333333"/>
          <w:sz w:val="22"/>
          <w:szCs w:val="22"/>
        </w:rPr>
        <w:t xml:space="preserve">7 tracking storage key(s) present before consent.</w:t>
      </w:r>
    </w:p>
    <w:p>
      <w:pPr>
        <w:pBdr>
          <w:bottom w:val="single" w:color="DDDDDD" w:sz="1"/>
        </w:pBdr>
      </w:pPr>
    </w:p>
    <w:p>
      <w:pPr>
        <w:spacing w:after="60" w:before="200"/>
      </w:pPr>
      <w:r>
        <w:rPr>
          <w:rFonts w:ascii="Arial" w:cs="Arial" w:eastAsia="Arial" w:hAnsi="Arial"/>
          <w:b/>
          <w:bCs/>
          <w:color w:val="C0392B"/>
          <w:sz w:val="22"/>
          <w:szCs w:val="22"/>
        </w:rPr>
        <w:t xml:space="preserve">B.5  </w:t>
      </w:r>
      <w:r>
        <w:rPr>
          <w:rFonts w:ascii="Arial" w:cs="Arial" w:eastAsia="Arial" w:hAnsi="Arial"/>
          <w:b/>
          <w:bCs/>
          <w:sz w:val="22"/>
          <w:szCs w:val="22"/>
        </w:rPr>
        <w:t xml:space="preserve">Non-essential scripts have type=text/plain (CMP-blocked) in DOM</w:t>
      </w:r>
    </w:p>
    <w:p>
      <w:pPr>
        <w:spacing w:after="60" w:before="60"/>
      </w:pPr>
      <w:r>
        <w:rPr>
          <w:rFonts w:ascii="Arial" w:cs="Arial" w:eastAsia="Arial" w:hAnsi="Arial"/>
          <w:b w:val="false"/>
          <w:bCs w:val="false"/>
          <w:color w:val="333333"/>
          <w:sz w:val="22"/>
          <w:szCs w:val="22"/>
        </w:rPr>
        <w:t xml:space="preserve">11 tracking script(s) in DOM without CMP-blocking type attribute.</w:t>
      </w:r>
    </w:p>
    <w:p>
      <w:pPr>
        <w:spacing w:after="120" w:before="60"/>
      </w:pPr>
      <w:r>
        <w:rPr>
          <w:rFonts w:ascii="Arial" w:cs="Arial" w:eastAsia="Arial" w:hAnsi="Arial"/>
          <w:b/>
          <w:bCs/>
          <w:sz w:val="20"/>
          <w:szCs w:val="20"/>
        </w:rPr>
        <w:t xml:space="preserve">Remediation: Scripts for tracking vendors should either be absent from the DOM entirely pre-consent, or have their type attribute set to 'text/plain' to prevent execution. CMPs typically manage this; verify the CMP script-blocking configuration.</w:t>
      </w:r>
    </w:p>
    <w:p>
      <w:pPr>
        <w:pBdr>
          <w:bottom w:val="single" w:color="DDDDDD" w:sz="1"/>
        </w:pBdr>
      </w:pPr>
    </w:p>
    <w:p>
      <w:pPr>
        <w:spacing w:after="60" w:before="200"/>
      </w:pPr>
      <w:r>
        <w:rPr>
          <w:rFonts w:ascii="Arial" w:cs="Arial" w:eastAsia="Arial" w:hAnsi="Arial"/>
          <w:b/>
          <w:bCs/>
          <w:color w:val="C0392B"/>
          <w:sz w:val="22"/>
          <w:szCs w:val="22"/>
        </w:rPr>
        <w:t xml:space="preserve">E.4  </w:t>
      </w:r>
      <w:r>
        <w:rPr>
          <w:rFonts w:ascii="Arial" w:cs="Arial" w:eastAsia="Arial" w:hAnsi="Arial"/>
          <w:b/>
          <w:bCs/>
          <w:sz w:val="22"/>
          <w:szCs w:val="22"/>
        </w:rPr>
        <w:t xml:space="preserve">No tracking activity on subpages after reject-all</w:t>
      </w:r>
    </w:p>
    <w:p>
      <w:pPr>
        <w:spacing w:after="60" w:before="60"/>
      </w:pPr>
      <w:r>
        <w:rPr>
          <w:rFonts w:ascii="Arial" w:cs="Arial" w:eastAsia="Arial" w:hAnsi="Arial"/>
          <w:b w:val="false"/>
          <w:bCs w:val="false"/>
          <w:color w:val="333333"/>
          <w:sz w:val="22"/>
          <w:szCs w:val="22"/>
        </w:rPr>
        <w:t xml:space="preserve">Tracking activity detected on 1 subpage(s) after reject.</w:t>
      </w:r>
    </w:p>
    <w:p>
      <w:pPr>
        <w:pBdr>
          <w:bottom w:val="single" w:color="DDDDDD" w:sz="1"/>
        </w:pBdr>
      </w:pPr>
    </w:p>
    <w:p>
      <w:pPr>
        <w:spacing w:after="60" w:before="200"/>
      </w:pPr>
      <w:r>
        <w:rPr>
          <w:rFonts w:ascii="Arial" w:cs="Arial" w:eastAsia="Arial" w:hAnsi="Arial"/>
          <w:b/>
          <w:bCs/>
          <w:color w:val="C0392B"/>
          <w:sz w:val="22"/>
          <w:szCs w:val="22"/>
        </w:rPr>
        <w:t xml:space="preserve">F.3  </w:t>
      </w:r>
      <w:r>
        <w:rPr>
          <w:rFonts w:ascii="Arial" w:cs="Arial" w:eastAsia="Arial" w:hAnsi="Arial"/>
          <w:b/>
          <w:bCs/>
          <w:sz w:val="22"/>
          <w:szCs w:val="22"/>
        </w:rPr>
        <w:t xml:space="preserve">No tracking identifiers in web storage post-reject</w:t>
      </w:r>
    </w:p>
    <w:p>
      <w:pPr>
        <w:spacing w:after="60" w:before="60"/>
      </w:pPr>
      <w:r>
        <w:rPr>
          <w:rFonts w:ascii="Arial" w:cs="Arial" w:eastAsia="Arial" w:hAnsi="Arial"/>
          <w:b w:val="false"/>
          <w:bCs w:val="false"/>
          <w:color w:val="333333"/>
          <w:sz w:val="22"/>
          <w:szCs w:val="22"/>
        </w:rPr>
        <w:t xml:space="preserve">7 tracking storage key(s) still present post-reject.</w:t>
      </w:r>
    </w:p>
    <w:p>
      <w:pPr>
        <w:spacing w:after="120" w:before="60"/>
      </w:pPr>
      <w:r>
        <w:rPr>
          <w:rFonts w:ascii="Arial" w:cs="Arial" w:eastAsia="Arial" w:hAnsi="Arial"/>
          <w:b/>
          <w:bCs/>
          <w:sz w:val="20"/>
          <w:szCs w:val="20"/>
        </w:rPr>
        <w:t xml:space="preserve">Remediation: On consent withdrawal, the CMP or page JS must clear all tracking-related localStorage and sessionStorage entries. Implement a consent-withdrawal handler that enumerates and removes known tracking keys.</w:t>
      </w:r>
    </w:p>
    <w:p>
      <w:pPr>
        <w:pBdr>
          <w:bottom w:val="single" w:color="DDDDDD" w:sz="1"/>
        </w:pBdr>
      </w:pPr>
    </w:p>
    <w:p>
      <w:pPr>
        <w:spacing w:after="60" w:before="200"/>
      </w:pPr>
      <w:r>
        <w:rPr>
          <w:rFonts w:ascii="Arial" w:cs="Arial" w:eastAsia="Arial" w:hAnsi="Arial"/>
          <w:b/>
          <w:bCs/>
          <w:color w:val="C0392B"/>
          <w:sz w:val="22"/>
          <w:szCs w:val="22"/>
        </w:rPr>
        <w:t xml:space="preserve">G.2  </w:t>
      </w:r>
      <w:r>
        <w:rPr>
          <w:rFonts w:ascii="Arial" w:cs="Arial" w:eastAsia="Arial" w:hAnsi="Arial"/>
          <w:b/>
          <w:bCs/>
          <w:sz w:val="22"/>
          <w:szCs w:val="22"/>
        </w:rPr>
        <w:t xml:space="preserve">All observed cookies declared in cookie policy</w:t>
      </w:r>
    </w:p>
    <w:p>
      <w:pPr>
        <w:spacing w:after="60" w:before="60"/>
      </w:pPr>
      <w:r>
        <w:rPr>
          <w:rFonts w:ascii="Arial" w:cs="Arial" w:eastAsia="Arial" w:hAnsi="Arial"/>
          <w:b w:val="false"/>
          <w:bCs w:val="false"/>
          <w:color w:val="333333"/>
          <w:sz w:val="22"/>
          <w:szCs w:val="22"/>
        </w:rPr>
        <w:t xml:space="preserve">340 cookie(s) observed but not found in cookie policy at https://www.manchestereveningnews.co.uk/cookie-policy.</w:t>
      </w:r>
    </w:p>
    <w:p>
      <w:pPr>
        <w:pBdr>
          <w:bottom w:val="single" w:color="DDDDDD" w:sz="1"/>
        </w:pBdr>
      </w:pPr>
    </w:p>
    <w:p>
      <w:pPr>
        <w:spacing w:after="60" w:before="200"/>
      </w:pPr>
      <w:r>
        <w:rPr>
          <w:rFonts w:ascii="Arial" w:cs="Arial" w:eastAsia="Arial" w:hAnsi="Arial"/>
          <w:b/>
          <w:bCs/>
          <w:color w:val="C0392B"/>
          <w:sz w:val="22"/>
          <w:szCs w:val="22"/>
        </w:rPr>
        <w:t xml:space="preserve">G.4  </w:t>
      </w:r>
      <w:r>
        <w:rPr>
          <w:rFonts w:ascii="Arial" w:cs="Arial" w:eastAsia="Arial" w:hAnsi="Arial"/>
          <w:b/>
          <w:bCs/>
          <w:sz w:val="22"/>
          <w:szCs w:val="22"/>
        </w:rPr>
        <w:t xml:space="preserve">Server-side analytics/ad cookies identified in Set-Cookie headers</w:t>
      </w:r>
    </w:p>
    <w:p>
      <w:pPr>
        <w:spacing w:after="60" w:before="60"/>
      </w:pPr>
      <w:r>
        <w:rPr>
          <w:rFonts w:ascii="Arial" w:cs="Arial" w:eastAsia="Arial" w:hAnsi="Arial"/>
          <w:b w:val="false"/>
          <w:bCs w:val="false"/>
          <w:color w:val="333333"/>
          <w:sz w:val="22"/>
          <w:szCs w:val="22"/>
        </w:rPr>
        <w:t xml:space="preserve">14 advertising cookie(s) set via HTTP Set-Cookie response header. These bypass client-side CMP controls.</w:t>
      </w:r>
    </w:p>
    <w:p>
      <w:pPr>
        <w:spacing w:after="120" w:before="60"/>
      </w:pPr>
      <w:r>
        <w:rPr>
          <w:rFonts w:ascii="Arial" w:cs="Arial" w:eastAsia="Arial" w:hAnsi="Arial"/>
          <w:b/>
          <w:bCs/>
          <w:sz w:val="20"/>
          <w:szCs w:val="20"/>
        </w:rPr>
        <w:t xml:space="preserve">Remediation: Server-side Set-Cookie headers for advertising/analytics identifiers require backend consent-gating. The server must read the CMP consent signal (e.g. the euconsent-v2 cookie) before setting tracking cookies. Consider implementing server-side consent enforcement middleware.</w:t>
      </w:r>
    </w:p>
    <w:p>
      <w:pPr>
        <w:pBdr>
          <w:bottom w:val="single" w:color="DDDDDD" w:sz="1"/>
        </w:pBdr>
      </w:pPr>
    </w:p>
    <w:p>
      <w:pPr>
        <w:spacing w:after="60" w:before="200"/>
      </w:pPr>
      <w:r>
        <w:rPr>
          <w:rFonts w:ascii="Arial" w:cs="Arial" w:eastAsia="Arial" w:hAnsi="Arial"/>
          <w:b/>
          <w:bCs/>
          <w:color w:val="C0392B"/>
          <w:sz w:val="22"/>
          <w:szCs w:val="22"/>
        </w:rPr>
        <w:t xml:space="preserve">G.6  </w:t>
      </w:r>
      <w:r>
        <w:rPr>
          <w:rFonts w:ascii="Arial" w:cs="Arial" w:eastAsia="Arial" w:hAnsi="Arial"/>
          <w:b/>
          <w:bCs/>
          <w:sz w:val="22"/>
          <w:szCs w:val="22"/>
        </w:rPr>
        <w:t xml:space="preserve">Non-essential first-party cookies absent after reject-all</w:t>
      </w:r>
    </w:p>
    <w:p>
      <w:pPr>
        <w:spacing w:after="60" w:before="60"/>
      </w:pPr>
      <w:r>
        <w:rPr>
          <w:rFonts w:ascii="Arial" w:cs="Arial" w:eastAsia="Arial" w:hAnsi="Arial"/>
          <w:b w:val="false"/>
          <w:bCs w:val="false"/>
          <w:color w:val="333333"/>
          <w:sz w:val="22"/>
          <w:szCs w:val="22"/>
        </w:rPr>
        <w:t xml:space="preserve">4 advertising/analytics cookie(s) present in both baseline and post-reject storage.</w:t>
      </w:r>
    </w:p>
    <w:p>
      <w:pPr>
        <w:pBdr>
          <w:bottom w:val="single" w:color="DDDDDD" w:sz="1"/>
        </w:pBdr>
      </w:pPr>
    </w:p>
    <w:p>
      <w:pPr>
        <w:spacing w:after="60" w:before="200"/>
      </w:pPr>
      <w:r>
        <w:rPr>
          <w:rFonts w:ascii="Arial" w:cs="Arial" w:eastAsia="Arial" w:hAnsi="Arial"/>
          <w:b/>
          <w:bCs/>
          <w:color w:val="C0392B"/>
          <w:sz w:val="22"/>
          <w:szCs w:val="22"/>
        </w:rPr>
        <w:t xml:space="preserve">G.9  </w:t>
      </w:r>
      <w:r>
        <w:rPr>
          <w:rFonts w:ascii="Arial" w:cs="Arial" w:eastAsia="Arial" w:hAnsi="Arial"/>
          <w:b/>
          <w:bCs/>
          <w:sz w:val="22"/>
          <w:szCs w:val="22"/>
        </w:rPr>
        <w:t xml:space="preserve">No tracking keys in first-party localStorage/sessionStorage post-reject</w:t>
      </w:r>
    </w:p>
    <w:p>
      <w:pPr>
        <w:spacing w:after="60" w:before="60"/>
      </w:pPr>
      <w:r>
        <w:rPr>
          <w:rFonts w:ascii="Arial" w:cs="Arial" w:eastAsia="Arial" w:hAnsi="Arial"/>
          <w:b w:val="false"/>
          <w:bCs w:val="false"/>
          <w:color w:val="333333"/>
          <w:sz w:val="22"/>
          <w:szCs w:val="22"/>
        </w:rPr>
        <w:t xml:space="preserve">7 tracking storage key(s) in first-party web storage post-reject.</w:t>
      </w:r>
    </w:p>
    <w:p>
      <w:pPr>
        <w:pBdr>
          <w:bottom w:val="single" w:color="DDDDDD" w:sz="1"/>
        </w:pBdr>
      </w:pPr>
    </w:p>
    <w:p>
      <w:pPr>
        <w:spacing w:after="60" w:before="200"/>
      </w:pPr>
      <w:r>
        <w:rPr>
          <w:rFonts w:ascii="Arial" w:cs="Arial" w:eastAsia="Arial" w:hAnsi="Arial"/>
          <w:b/>
          <w:bCs/>
          <w:color w:val="C0392B"/>
          <w:sz w:val="22"/>
          <w:szCs w:val="22"/>
        </w:rPr>
        <w:t xml:space="preserve">H.1  </w:t>
      </w:r>
      <w:r>
        <w:rPr>
          <w:rFonts w:ascii="Arial" w:cs="Arial" w:eastAsia="Arial" w:hAnsi="Arial"/>
          <w:b/>
          <w:bCs/>
          <w:sz w:val="22"/>
          <w:szCs w:val="22"/>
        </w:rPr>
        <w:t xml:space="preserve">Tracker JS globals (ga, gtag, fbq, hj, etc.) return undefined post-reject</w:t>
      </w:r>
    </w:p>
    <w:p>
      <w:pPr>
        <w:spacing w:after="60" w:before="60"/>
      </w:pPr>
      <w:r>
        <w:rPr>
          <w:rFonts w:ascii="Arial" w:cs="Arial" w:eastAsia="Arial" w:hAnsi="Arial"/>
          <w:b w:val="false"/>
          <w:bCs w:val="false"/>
          <w:color w:val="333333"/>
          <w:sz w:val="22"/>
          <w:szCs w:val="22"/>
        </w:rPr>
        <w:t xml:space="preserve">Tracker globals still defined after reject-all: ['gtag', 'google_tag_manager', 'amplitude']</w:t>
      </w:r>
    </w:p>
    <w:p>
      <w:pPr>
        <w:pBdr>
          <w:bottom w:val="single" w:color="DDDDDD" w:sz="1"/>
        </w:pBdr>
      </w:pPr>
    </w:p>
    <w:p>
      <w:pPr>
        <w:spacing w:after="60" w:before="200"/>
      </w:pPr>
      <w:r>
        <w:rPr>
          <w:rFonts w:ascii="Arial" w:cs="Arial" w:eastAsia="Arial" w:hAnsi="Arial"/>
          <w:b/>
          <w:bCs/>
          <w:color w:val="C0392B"/>
          <w:sz w:val="22"/>
          <w:szCs w:val="22"/>
        </w:rPr>
        <w:t xml:space="preserve">H.3  </w:t>
      </w:r>
      <w:r>
        <w:rPr>
          <w:rFonts w:ascii="Arial" w:cs="Arial" w:eastAsia="Arial" w:hAnsi="Arial"/>
          <w:b/>
          <w:bCs/>
          <w:sz w:val="22"/>
          <w:szCs w:val="22"/>
        </w:rPr>
        <w:t xml:space="preserve">window.dataLayer absent or contains no tracking events post-reject</w:t>
      </w:r>
    </w:p>
    <w:p>
      <w:pPr>
        <w:spacing w:after="60" w:before="60"/>
      </w:pPr>
      <w:r>
        <w:rPr>
          <w:rFonts w:ascii="Arial" w:cs="Arial" w:eastAsia="Arial" w:hAnsi="Arial"/>
          <w:b w:val="false"/>
          <w:bCs w:val="false"/>
          <w:color w:val="333333"/>
          <w:sz w:val="22"/>
          <w:szCs w:val="22"/>
        </w:rPr>
        <w:t xml:space="preserve">dataLayer contains 2 tracking event(s): ['gtm.js', 'gtm.dom']</w:t>
      </w:r>
    </w:p>
    <w:p>
      <w:pPr>
        <w:pBdr>
          <w:bottom w:val="single" w:color="DDDDDD" w:sz="1"/>
        </w:pBdr>
      </w:pPr>
    </w:p>
    <w:p>
      <w:pPr>
        <w:spacing w:after="60" w:before="200"/>
      </w:pPr>
      <w:r>
        <w:rPr>
          <w:rFonts w:ascii="Arial" w:cs="Arial" w:eastAsia="Arial" w:hAnsi="Arial"/>
          <w:b/>
          <w:bCs/>
          <w:color w:val="C0392B"/>
          <w:sz w:val="22"/>
          <w:szCs w:val="22"/>
        </w:rPr>
        <w:t xml:space="preserve">I.1  </w:t>
      </w:r>
      <w:r>
        <w:rPr>
          <w:rFonts w:ascii="Arial" w:cs="Arial" w:eastAsia="Arial" w:hAnsi="Arial"/>
          <w:b/>
          <w:bCs/>
          <w:sz w:val="22"/>
          <w:szCs w:val="22"/>
        </w:rPr>
        <w:t xml:space="preserve">Tracker script tags have type=text/plain (CMP-blocked) in DOM post-reject</w:t>
      </w:r>
    </w:p>
    <w:p>
      <w:pPr>
        <w:spacing w:after="60" w:before="60"/>
      </w:pPr>
      <w:r>
        <w:rPr>
          <w:rFonts w:ascii="Arial" w:cs="Arial" w:eastAsia="Arial" w:hAnsi="Arial"/>
          <w:b w:val="false"/>
          <w:bCs w:val="false"/>
          <w:color w:val="333333"/>
          <w:sz w:val="22"/>
          <w:szCs w:val="22"/>
        </w:rPr>
        <w:t xml:space="preserve">12 tracker script(s) in DOM without CMP type-blocking post-reject. 0 script(s) correctly blocked.</w:t>
      </w:r>
    </w:p>
    <w:p>
      <w:pPr>
        <w:pBdr>
          <w:bottom w:val="single" w:color="DDDDDD" w:sz="1"/>
        </w:pBdr>
      </w:pPr>
    </w:p>
    <w:p>
      <w:pPr>
        <w:spacing w:after="60" w:before="200"/>
      </w:pPr>
      <w:r>
        <w:rPr>
          <w:rFonts w:ascii="Arial" w:cs="Arial" w:eastAsia="Arial" w:hAnsi="Arial"/>
          <w:b/>
          <w:bCs/>
          <w:color w:val="C0392B"/>
          <w:sz w:val="22"/>
          <w:szCs w:val="22"/>
        </w:rPr>
        <w:t xml:space="preserve">I.2  </w:t>
      </w:r>
      <w:r>
        <w:rPr>
          <w:rFonts w:ascii="Arial" w:cs="Arial" w:eastAsia="Arial" w:hAnsi="Arial"/>
          <w:b/>
          <w:bCs/>
          <w:sz w:val="22"/>
          <w:szCs w:val="22"/>
        </w:rPr>
        <w:t xml:space="preserve">Non-essential scripts blocked (type=text/plain)</w:t>
      </w:r>
    </w:p>
    <w:p>
      <w:pPr>
        <w:spacing w:after="60" w:before="60"/>
      </w:pPr>
      <w:r>
        <w:rPr>
          <w:rFonts w:ascii="Arial" w:cs="Arial" w:eastAsia="Arial" w:hAnsi="Arial"/>
          <w:b w:val="false"/>
          <w:bCs w:val="false"/>
          <w:color w:val="333333"/>
          <w:sz w:val="22"/>
          <w:szCs w:val="22"/>
        </w:rPr>
        <w:t xml:space="preserve">See I.1 — same check.</w:t>
      </w:r>
    </w:p>
    <w:p>
      <w:pPr>
        <w:pBdr>
          <w:bottom w:val="single" w:color="DDDDDD" w:sz="1"/>
        </w:pBdr>
      </w:pPr>
    </w:p>
    <w:p>
      <w:pPr>
        <w:spacing w:after="60" w:before="200"/>
      </w:pPr>
      <w:r>
        <w:rPr>
          <w:rFonts w:ascii="Arial" w:cs="Arial" w:eastAsia="Arial" w:hAnsi="Arial"/>
          <w:b/>
          <w:bCs/>
          <w:color w:val="C0392B"/>
          <w:sz w:val="22"/>
          <w:szCs w:val="22"/>
        </w:rPr>
        <w:t xml:space="preserve">I.3  </w:t>
      </w:r>
      <w:r>
        <w:rPr>
          <w:rFonts w:ascii="Arial" w:cs="Arial" w:eastAsia="Arial" w:hAnsi="Arial"/>
          <w:b/>
          <w:bCs/>
          <w:sz w:val="22"/>
          <w:szCs w:val="22"/>
        </w:rPr>
        <w:t xml:space="preserve">No tracker JS files in executed sources post-reject</w:t>
      </w:r>
    </w:p>
    <w:p>
      <w:pPr>
        <w:spacing w:after="60" w:before="60"/>
      </w:pPr>
      <w:r>
        <w:rPr>
          <w:rFonts w:ascii="Arial" w:cs="Arial" w:eastAsia="Arial" w:hAnsi="Arial"/>
          <w:b w:val="false"/>
          <w:bCs w:val="false"/>
          <w:color w:val="333333"/>
          <w:sz w:val="22"/>
          <w:szCs w:val="22"/>
        </w:rPr>
        <w:t xml:space="preserve">Based on DOM script inventory; full Sources tab verification requires Chrome DevTools protocol introspection (beyond current scope).</w:t>
      </w:r>
    </w:p>
    <w:p>
      <w:pPr>
        <w:pBdr>
          <w:bottom w:val="single" w:color="DDDDDD" w:sz="1"/>
        </w:pBdr>
      </w:pPr>
    </w:p>
    <w:p>
      <w:pPr>
        <w:spacing w:after="60" w:before="200"/>
      </w:pPr>
      <w:r>
        <w:rPr>
          <w:rFonts w:ascii="Arial" w:cs="Arial" w:eastAsia="Arial" w:hAnsi="Arial"/>
          <w:b/>
          <w:bCs/>
          <w:color w:val="C0392B"/>
          <w:sz w:val="22"/>
          <w:szCs w:val="22"/>
        </w:rPr>
        <w:t xml:space="preserve">J.3  </w:t>
      </w:r>
      <w:r>
        <w:rPr>
          <w:rFonts w:ascii="Arial" w:cs="Arial" w:eastAsia="Arial" w:hAnsi="Arial"/>
          <w:b/>
          <w:bCs/>
          <w:sz w:val="22"/>
          <w:szCs w:val="22"/>
        </w:rPr>
        <w:t xml:space="preserve">Server-side cookie-setting identified where ITP would block client-side</w:t>
      </w:r>
    </w:p>
    <w:p>
      <w:pPr>
        <w:spacing w:after="60" w:before="60"/>
      </w:pPr>
      <w:r>
        <w:rPr>
          <w:rFonts w:ascii="Arial" w:cs="Arial" w:eastAsia="Arial" w:hAnsi="Arial"/>
          <w:b w:val="false"/>
          <w:bCs w:val="false"/>
          <w:color w:val="333333"/>
          <w:sz w:val="22"/>
          <w:szCs w:val="22"/>
        </w:rPr>
        <w:t xml:space="preserve">10 advertising cookie(s) set with &gt;7-day Max-Age via server-side header, bypassing ITP client-side restrictions.</w:t>
      </w:r>
    </w:p>
    <w:p>
      <w:pPr>
        <w:pBdr>
          <w:bottom w:val="single" w:color="DDDDDD" w:sz="1"/>
        </w:pBdr>
      </w:pPr>
    </w:p>
    <w:p>
      <w:pPr>
        <w:spacing w:after="60" w:before="200"/>
      </w:pPr>
      <w:r>
        <w:rPr>
          <w:rFonts w:ascii="Arial" w:cs="Arial" w:eastAsia="Arial" w:hAnsi="Arial"/>
          <w:b/>
          <w:bCs/>
          <w:color w:val="C0392B"/>
          <w:sz w:val="22"/>
          <w:szCs w:val="22"/>
        </w:rPr>
        <w:t xml:space="preserve">K.1  </w:t>
      </w:r>
      <w:r>
        <w:rPr>
          <w:rFonts w:ascii="Arial" w:cs="Arial" w:eastAsia="Arial" w:hAnsi="Arial"/>
          <w:b/>
          <w:bCs/>
          <w:sz w:val="22"/>
          <w:szCs w:val="22"/>
        </w:rPr>
        <w:t xml:space="preserve">Reject All at same prominence and level as Accept All</w:t>
      </w:r>
    </w:p>
    <w:p>
      <w:pPr>
        <w:spacing w:after="60" w:before="60"/>
      </w:pPr>
      <w:r>
        <w:rPr>
          <w:rFonts w:ascii="Arial" w:cs="Arial" w:eastAsia="Arial" w:hAnsi="Arial"/>
          <w:b w:val="false"/>
          <w:bCs w:val="false"/>
          <w:color w:val="333333"/>
          <w:sz w:val="22"/>
          <w:szCs w:val="22"/>
        </w:rPr>
        <w:t xml:space="preserve">Reject All not directly accessible from first consent screen — requires entering Manage Preferences. EDPB guidelines require equal prominence.</w:t>
      </w:r>
    </w:p>
    <w:p>
      <w:pPr>
        <w:spacing w:after="120" w:before="60"/>
      </w:pPr>
      <w:r>
        <w:rPr>
          <w:rFonts w:ascii="Arial" w:cs="Arial" w:eastAsia="Arial" w:hAnsi="Arial"/>
          <w:b/>
          <w:bCs/>
          <w:sz w:val="20"/>
          <w:szCs w:val="20"/>
        </w:rPr>
        <w:t xml:space="preserve">Remediation: Add a 'Reject All' button directly to the first consent layer (same screen as 'Accept All'). Do not require users to navigate to a preferences panel to decline.</w:t>
      </w:r>
    </w:p>
    <w:p>
      <w:pPr>
        <w:pBdr>
          <w:bottom w:val="single" w:color="DDDDDD" w:sz="1"/>
        </w:pBdr>
      </w:pPr>
    </w:p>
    <w:p>
      <w:pPr>
        <w:spacing w:after="60" w:before="200"/>
      </w:pPr>
      <w:r>
        <w:rPr>
          <w:rFonts w:ascii="Arial" w:cs="Arial" w:eastAsia="Arial" w:hAnsi="Arial"/>
          <w:b/>
          <w:bCs/>
          <w:color w:val="C0392B"/>
          <w:sz w:val="22"/>
          <w:szCs w:val="22"/>
        </w:rPr>
        <w:t xml:space="preserve">L.2  </w:t>
      </w:r>
      <w:r>
        <w:rPr>
          <w:rFonts w:ascii="Arial" w:cs="Arial" w:eastAsia="Arial" w:hAnsi="Arial"/>
          <w:b/>
          <w:bCs/>
          <w:sz w:val="22"/>
          <w:szCs w:val="22"/>
        </w:rPr>
        <w:t xml:space="preserve">Consent choice respected on second tab (same session)</w:t>
      </w:r>
    </w:p>
    <w:p>
      <w:pPr>
        <w:spacing w:after="60" w:before="60"/>
      </w:pPr>
      <w:r>
        <w:rPr>
          <w:rFonts w:ascii="Arial" w:cs="Arial" w:eastAsia="Arial" w:hAnsi="Arial"/>
          <w:b w:val="false"/>
          <w:bCs w:val="false"/>
          <w:color w:val="333333"/>
          <w:sz w:val="22"/>
          <w:szCs w:val="22"/>
        </w:rPr>
        <w:t xml:space="preserve">Advertising cookies found in second tab — consent state may not be persisted.</w:t>
      </w:r>
    </w:p>
    <w:p>
      <w:pPr>
        <w:pBdr>
          <w:bottom w:val="single" w:color="DDDDDD" w:sz="1"/>
        </w:pBdr>
      </w:pPr>
    </w:p>
    <w:p>
      <w:pPr>
        <w:spacing w:after="60" w:before="200"/>
      </w:pPr>
      <w:r>
        <w:rPr>
          <w:rFonts w:ascii="Arial" w:cs="Arial" w:eastAsia="Arial" w:hAnsi="Arial"/>
          <w:b/>
          <w:bCs/>
          <w:color w:val="C0392B"/>
          <w:sz w:val="22"/>
          <w:szCs w:val="22"/>
        </w:rPr>
        <w:t xml:space="preserve">L.3  </w:t>
      </w:r>
      <w:r>
        <w:rPr>
          <w:rFonts w:ascii="Arial" w:cs="Arial" w:eastAsia="Arial" w:hAnsi="Arial"/>
          <w:b/>
          <w:bCs/>
          <w:sz w:val="22"/>
          <w:szCs w:val="22"/>
        </w:rPr>
        <w:t xml:space="preserve">Declined state maintained after closing and reopening (simulate new session)</w:t>
      </w:r>
    </w:p>
    <w:p>
      <w:pPr>
        <w:spacing w:after="60" w:before="60"/>
      </w:pPr>
      <w:r>
        <w:rPr>
          <w:rFonts w:ascii="Arial" w:cs="Arial" w:eastAsia="Arial" w:hAnsi="Arial"/>
          <w:b w:val="false"/>
          <w:bCs w:val="false"/>
          <w:color w:val="333333"/>
          <w:sz w:val="22"/>
          <w:szCs w:val="22"/>
        </w:rPr>
        <w:t xml:space="preserve">Advertising cookies found on return — consent state not correctly maintained.</w:t>
      </w:r>
    </w:p>
    <w:p>
      <w:pPr>
        <w:pBdr>
          <w:bottom w:val="single" w:color="DDDDDD" w:sz="1"/>
        </w:pBdr>
      </w:pP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6. Cookie Inventory</w:t>
      </w:r>
    </w:p>
    <w:tbl>
      <w:tblPr>
        <w:tblW w:type="dxa" w:w="9400"/>
        <w:tblBorders>
          <w:top w:val="single" w:color="auto" w:sz="4"/>
          <w:left w:val="single" w:color="auto" w:sz="4"/>
          <w:bottom w:val="single" w:color="auto" w:sz="4"/>
          <w:right w:val="single" w:color="auto" w:sz="4"/>
          <w:insideH w:val="single" w:color="auto" w:sz="4"/>
          <w:insideV w:val="single" w:color="auto" w:sz="4"/>
        </w:tblBorders>
      </w:tblPr>
      <w:tblGrid>
        <w:gridCol w:w="1500"/>
        <w:gridCol w:w="1800"/>
        <w:gridCol w:w="900"/>
        <w:gridCol w:w="1400"/>
        <w:gridCol w:w="1000"/>
        <w:gridCol w:w="800"/>
      </w:tblGrid>
      <w:tr>
        <w:trPr>
          <w:tblHeader/>
        </w:trPr>
        <w:tc>
          <w:tcPr>
            <w:tcW w:type="dxa" w:w="15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Name</w:t>
            </w:r>
          </w:p>
        </w:tc>
        <w:tc>
          <w:tcPr>
            <w:tcW w:type="dxa" w:w="18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Domain</w:t>
            </w:r>
          </w:p>
        </w:tc>
        <w:tc>
          <w:tcPr>
            <w:tcW w:type="dxa" w:w="9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Expires</w:t>
            </w:r>
          </w:p>
        </w:tc>
        <w:tc>
          <w:tcPr>
            <w:tcW w:type="dxa" w:w="14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Category</w:t>
            </w:r>
          </w:p>
        </w:tc>
        <w:tc>
          <w:tcPr>
            <w:tcW w:type="dxa" w:w="10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Necessary</w:t>
            </w:r>
          </w:p>
        </w:tc>
        <w:tc>
          <w:tcPr>
            <w:tcW w:type="dxa" w:w="8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Declared</w:t>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bounceClientVisit5877c</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.bounceexchange.com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_li_ss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i.liadm.com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GS_GROUP</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GS_REVENUE_LOC</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GS_RESTRICT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pageCount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_ga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.stmg-prod.mirror.co.uk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AD</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.scorecardresearch.com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XID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.scorecardresearch.com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TM_ga_clientId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usprivacy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IABGPP_HDR_GppString</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DotMetrics.DomainCookie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DotMetrics.DeviceKey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.dotmetrics.net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DotMetrics.UniqueUserIdentityCookie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.dotmetrics.net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pbjs_sharedId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pbjs_sharedId_cst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TDID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.adsrvr.org</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_pubcid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_cc_id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.crwdcntrl.net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270.0d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idw-fe-id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pbjs_unifiedID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pbjs_unifiedID_cst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_cc_id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270.0d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panoramaId_expiry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DM_SitId899</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DM_SitId899SecId5026</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3pc_test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static.anonm.io</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_lr_geo_location_state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2.0d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_lr_geo_location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2.0d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_li_dcdm_c</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_lc2_fpi</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_lc2_fpi_meta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_pubcid_cst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_lr_retry_request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_lr_env_src_ats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www.manchestereveningnews.co.uk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khaos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.rubiconproject.com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khaos_p</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.rubiconproject.com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lidid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.liadm.com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receive-cookie-deprecation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.rubiconproject.com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90.0d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AD</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A3</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.yahoo.com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365.2d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bcookie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.linkedin.com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lidc</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.linkedin.com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stx_user_id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.sharethrough.com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uids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.pbs.yahoo.com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182.0d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__3idcontext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.cdnwidget.com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__idcontext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.manchestereveningnews.co.uk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rubiconUID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.ssp.wknd.ai</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ljt_reader</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.lijit.com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bito</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.bidr.io</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394.8d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bitoIsSecure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.bidr.io</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394.8d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_sv3_7</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.a-mo.net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amuid2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.a-mo.net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pamuid2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.a-mo.net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psd_amuid2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.sync.a-mo.net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sd_amuid2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.sync.a-mo.net</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sub</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account.anonymised.io</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ad-privacy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.amazon-adsystem.com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KADUSERCOOKIE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.pubmatic.com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365.0d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mc</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.quantserve.com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396.0d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bl>
    <w:p>
      <w:r>
        <w:br w:type="page"/>
      </w:r>
    </w:p>
    <w:p>
      <w:pPr>
        <w:pStyle w:val="Heading1"/>
        <w:pBdr>
          <w:bottom w:val="single" w:color="1A1A2E" w:sz="2"/>
        </w:pBdr>
        <w:spacing w:after="180" w:before="360"/>
      </w:pPr>
      <w:r>
        <w:rPr>
          <w:rFonts w:ascii="Arial" w:cs="Arial" w:eastAsia="Arial" w:hAnsi="Arial"/>
          <w:b/>
          <w:bCs/>
          <w:color w:val="1A1A2E"/>
          <w:sz w:val="28"/>
          <w:szCs w:val="28"/>
        </w:rPr>
        <w:t xml:space="preserve">7. Third-Party Tracker Inventory</w:t>
      </w:r>
    </w:p>
    <w:p>
      <w:pPr>
        <w:spacing w:after="60" w:before="60"/>
      </w:pPr>
      <w:r>
        <w:rPr>
          <w:rFonts w:ascii="Arial" w:cs="Arial" w:eastAsia="Arial" w:hAnsi="Arial"/>
          <w:b w:val="false"/>
          <w:bCs w:val="false"/>
          <w:color w:val="888888"/>
          <w:sz w:val="22"/>
          <w:szCs w:val="22"/>
        </w:rPr>
        <w:t xml:space="preserve">No post-reject tracker data available.</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8. Remediation Roadmap</w:t>
      </w:r>
    </w:p>
    <w:p>
      <w:pPr>
        <w:spacing w:after="60" w:before="60"/>
      </w:pPr>
      <w:r>
        <w:rPr>
          <w:rFonts w:ascii="Arial" w:cs="Arial" w:eastAsia="Arial" w:hAnsi="Arial"/>
          <w:b w:val="false"/>
          <w:bCs w:val="false"/>
          <w:color w:val="888888"/>
          <w:sz w:val="22"/>
          <w:szCs w:val="22"/>
        </w:rPr>
        <w:t xml:space="preserve">Requires ANTHROPIC_API_KEY for AI analysis.</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9. Regulatory References</w:t>
      </w:r>
    </w:p>
    <w:p>
      <w:pPr>
        <w:spacing w:after="60" w:before="60"/>
      </w:pPr>
      <w:r>
        <w:rPr>
          <w:rFonts w:ascii="Arial" w:cs="Arial" w:eastAsia="Arial" w:hAnsi="Arial"/>
          <w:b w:val="false"/>
          <w:bCs w:val="false"/>
          <w:color w:val="333333"/>
          <w:sz w:val="22"/>
          <w:szCs w:val="22"/>
        </w:rPr>
        <w:t xml:space="preserve">ePrivacy Directive 2002/58/EC Art. 5(3) — terminal device consent requirement.</w:t>
      </w:r>
    </w:p>
    <w:p>
      <w:pPr>
        <w:spacing w:after="60" w:before="60"/>
      </w:pPr>
      <w:r>
        <w:rPr>
          <w:rFonts w:ascii="Arial" w:cs="Arial" w:eastAsia="Arial" w:hAnsi="Arial"/>
          <w:b w:val="false"/>
          <w:bCs w:val="false"/>
          <w:color w:val="333333"/>
          <w:sz w:val="22"/>
          <w:szCs w:val="22"/>
        </w:rPr>
        <w:t xml:space="preserve">Norwegian ekomloven para 2-7b — national implementation of ePrivacy Directive.</w:t>
      </w:r>
    </w:p>
    <w:p>
      <w:pPr>
        <w:spacing w:after="60" w:before="60"/>
      </w:pPr>
      <w:r>
        <w:rPr>
          <w:rFonts w:ascii="Arial" w:cs="Arial" w:eastAsia="Arial" w:hAnsi="Arial"/>
          <w:b w:val="false"/>
          <w:bCs w:val="false"/>
          <w:color w:val="333333"/>
          <w:sz w:val="22"/>
          <w:szCs w:val="22"/>
        </w:rPr>
        <w:t xml:space="preserve">GDPR (EU) 2016/679 Arts. 5, 6, 7, 25 — lawfulness, consent, withdrawal, privacy by design.</w:t>
      </w:r>
    </w:p>
    <w:p>
      <w:pPr>
        <w:spacing w:after="60" w:before="60"/>
      </w:pPr>
      <w:r>
        <w:rPr>
          <w:rFonts w:ascii="Arial" w:cs="Arial" w:eastAsia="Arial" w:hAnsi="Arial"/>
          <w:b w:val="false"/>
          <w:bCs w:val="false"/>
          <w:color w:val="333333"/>
          <w:sz w:val="22"/>
          <w:szCs w:val="22"/>
        </w:rPr>
        <w:t xml:space="preserve">CJEU Planet49 C-673/17 (2019) — pre-ticked boxes invalid; consent must precede processing.</w:t>
      </w:r>
    </w:p>
    <w:p>
      <w:pPr>
        <w:spacing w:after="60" w:before="60"/>
      </w:pPr>
      <w:r>
        <w:rPr>
          <w:rFonts w:ascii="Arial" w:cs="Arial" w:eastAsia="Arial" w:hAnsi="Arial"/>
          <w:b w:val="false"/>
          <w:bCs w:val="false"/>
          <w:color w:val="333333"/>
          <w:sz w:val="22"/>
          <w:szCs w:val="22"/>
        </w:rPr>
        <w:t xml:space="preserve">EDPB Guidelines 05/2020 on consent — freely given, as easy to withdraw as give.</w:t>
      </w:r>
    </w:p>
    <w:p>
      <w:pPr>
        <w:spacing w:after="60" w:before="60"/>
      </w:pPr>
      <w:r>
        <w:rPr>
          <w:rFonts w:ascii="Arial" w:cs="Arial" w:eastAsia="Arial" w:hAnsi="Arial"/>
          <w:b w:val="false"/>
          <w:bCs w:val="false"/>
          <w:color w:val="333333"/>
          <w:sz w:val="22"/>
          <w:szCs w:val="22"/>
        </w:rPr>
        <w:t xml:space="preserve">EDPB Cookie Banner Taskforce Report (Jan 2023) — reject prominence, dark patterns.</w:t>
      </w:r>
    </w:p>
    <w:p>
      <w:pPr>
        <w:spacing w:after="60" w:before="60"/>
      </w:pPr>
      <w:r>
        <w:rPr>
          <w:rFonts w:ascii="Arial" w:cs="Arial" w:eastAsia="Arial" w:hAnsi="Arial"/>
          <w:b w:val="false"/>
          <w:bCs w:val="false"/>
          <w:color w:val="333333"/>
          <w:sz w:val="22"/>
          <w:szCs w:val="22"/>
        </w:rPr>
        <w:t xml:space="preserve">CNIL decisions (Dec 2021) — reject requiring more clicks = GDPR breach.</w:t>
      </w:r>
    </w:p>
    <w:p>
      <w:pPr>
        <w:spacing w:after="60" w:before="60"/>
      </w:pPr>
      <w:r>
        <w:rPr>
          <w:rFonts w:ascii="Arial" w:cs="Arial" w:eastAsia="Arial" w:hAnsi="Arial"/>
          <w:b w:val="false"/>
          <w:bCs w:val="false"/>
          <w:color w:val="333333"/>
          <w:sz w:val="22"/>
          <w:szCs w:val="22"/>
        </w:rPr>
        <w:t xml:space="preserve">Datatilsynet, Grindr decision (2022-2023) — RTB without valid consent, NOK 65M fine.</w:t>
      </w:r>
    </w:p>
    <w:p>
      <w:pPr>
        <w:spacing w:after="60" w:before="60"/>
      </w:pPr>
      <w:r>
        <w:rPr>
          <w:rFonts w:ascii="Arial" w:cs="Arial" w:eastAsia="Arial" w:hAnsi="Arial"/>
          <w:b w:val="false"/>
          <w:bCs w:val="false"/>
          <w:color w:val="333333"/>
          <w:sz w:val="22"/>
          <w:szCs w:val="22"/>
        </w:rPr>
        <w:t xml:space="preserve">IAB TCF 2.2 Policy (2023) — bid request initiation is itself a processing activity.</w:t>
      </w:r>
    </w:p>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Disclaimer</w:t>
      </w:r>
    </w:p>
    <w:p>
      <w:pPr>
        <w:spacing w:after="60" w:before="60"/>
      </w:pPr>
      <w:r>
        <w:rPr>
          <w:rFonts w:ascii="Arial" w:cs="Arial" w:eastAsia="Arial" w:hAnsi="Arial"/>
          <w:b w:val="false"/>
          <w:bCs w:val="false"/>
          <w:color w:val="555555"/>
          <w:sz w:val="22"/>
          <w:szCs w:val="22"/>
        </w:rPr>
        <w:t xml:space="preserve">This report is produced by the Waivern Consent Analyser, a product of Waivern Limited. It is provided for informational purposes only and does not constitute legal advice, regulatory guidance, or professional compliance consulting.</w:t>
      </w:r>
    </w:p>
    <w:p/>
    <w:p>
      <w:pPr>
        <w:spacing w:after="60" w:before="60"/>
      </w:pPr>
      <w:r>
        <w:rPr>
          <w:rFonts w:ascii="Arial" w:cs="Arial" w:eastAsia="Arial" w:hAnsi="Arial"/>
          <w:b w:val="false"/>
          <w:bCs w:val="false"/>
          <w:color w:val="555555"/>
          <w:sz w:val="22"/>
          <w:szCs w:val="22"/>
        </w:rPr>
        <w:t xml:space="preserve">No warranty of accuracy or completeness: While Waivern endeavours to maintain accuracy, no representations or warranties, express or implied, are made regarding the accuracy, completeness, reliability, or suitability of any information in this report. Automated analysis may produce false positives or false negatives.</w:t>
      </w:r>
    </w:p>
    <w:p/>
    <w:p>
      <w:pPr>
        <w:spacing w:after="60" w:before="60"/>
      </w:pPr>
      <w:r>
        <w:rPr>
          <w:rFonts w:ascii="Arial" w:cs="Arial" w:eastAsia="Arial" w:hAnsi="Arial"/>
          <w:b w:val="false"/>
          <w:bCs w:val="false"/>
          <w:color w:val="555555"/>
          <w:sz w:val="22"/>
          <w:szCs w:val="22"/>
        </w:rPr>
        <w:t xml:space="preserve">Limitations: This tool analyses websites from a single geographic location at a specific point in time. Results may vary based on network conditions, website configuration changes, A/B testing, bot detection, and other factors.</w:t>
      </w:r>
    </w:p>
    <w:p/>
    <w:p>
      <w:pPr>
        <w:spacing w:after="60" w:before="60"/>
      </w:pPr>
      <w:r>
        <w:rPr>
          <w:rFonts w:ascii="Arial" w:cs="Arial" w:eastAsia="Arial" w:hAnsi="Arial"/>
          <w:b w:val="false"/>
          <w:bCs w:val="false"/>
          <w:color w:val="555555"/>
          <w:sz w:val="22"/>
          <w:szCs w:val="22"/>
        </w:rPr>
        <w:t xml:space="preserve">AI-generated content: AI-enhanced sections of this report are generated using third-party artificial intelligence services. AI outputs including regulatory citations, risk assessments, and remediation recommendations may contain inaccuracies or outdated information and should be independently verified.</w:t>
      </w:r>
    </w:p>
    <w:p/>
    <w:p>
      <w:pPr>
        <w:spacing w:after="60" w:before="60"/>
      </w:pPr>
      <w:r>
        <w:rPr>
          <w:rFonts w:ascii="Arial" w:cs="Arial" w:eastAsia="Arial" w:hAnsi="Arial"/>
          <w:b w:val="false"/>
          <w:bCs w:val="false"/>
          <w:color w:val="555555"/>
          <w:sz w:val="22"/>
          <w:szCs w:val="22"/>
        </w:rPr>
        <w:t xml:space="preserve">Limitation of liability: To the fullest extent permitted by law, Waivern Limited shall not be liable for any direct, indirect, incidental, special, consequential, or punitive damages arising from use of this report.</w:t>
      </w:r>
    </w:p>
    <w:p/>
    <w:p>
      <w:pPr>
        <w:spacing w:after="60" w:before="60"/>
      </w:pPr>
      <w:r>
        <w:rPr>
          <w:rFonts w:ascii="Arial" w:cs="Arial" w:eastAsia="Arial" w:hAnsi="Arial"/>
          <w:b/>
          <w:bCs/>
          <w:color w:val="555555"/>
          <w:sz w:val="22"/>
          <w:szCs w:val="22"/>
        </w:rPr>
        <w:t xml:space="preserve">You should consult qualified legal counsel familiar with your specific circumstances before taking any action based on the findings in this report.</w:t>
      </w:r>
    </w:p>
    <w:p/>
    <w:p>
      <w:pPr>
        <w:spacing w:after="60" w:before="60"/>
      </w:pPr>
      <w:r>
        <w:rPr>
          <w:rFonts w:ascii="Arial" w:cs="Arial" w:eastAsia="Arial" w:hAnsi="Arial"/>
          <w:b w:val="false"/>
          <w:bCs w:val="false"/>
          <w:color w:val="999999"/>
          <w:sz w:val="22"/>
          <w:szCs w:val="22"/>
        </w:rPr>
        <w:t xml:space="preserve">Generated by Waivern Consent Analyser.</w:t>
      </w:r>
    </w:p>
    <w:p>
      <w:pPr>
        <w:spacing w:after="60" w:before="60"/>
      </w:pPr>
      <w:r>
        <w:rPr>
          <w:rFonts w:ascii="Arial" w:cs="Arial" w:eastAsia="Arial" w:hAnsi="Arial"/>
          <w:b w:val="false"/>
          <w:bCs w:val="false"/>
          <w:color w:val="999999"/>
          <w:sz w:val="22"/>
          <w:szCs w:val="22"/>
        </w:rPr>
        <w:t xml:space="preserve">© Waivern Limited. All rights reserved.</w:t>
      </w:r>
    </w:p>
    <w:sectPr>
      <w:pgSz w:w="11906" w:h="16838" w:orient="portrait"/>
      <w:pgMar w:top="1440" w:right="1260" w:bottom="1440" w:left="126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80" w:before="360"/>
      <w:outlineLvl w:val="0"/>
    </w:pPr>
    <w:rPr>
      <w:rFonts w:ascii="Arial" w:cs="Arial" w:eastAsia="Arial" w:hAnsi="Arial"/>
      <w:b/>
      <w:bCs/>
      <w:color w:val="1A1A2E"/>
      <w:sz w:val="28"/>
      <w:szCs w:val="28"/>
    </w:rPr>
  </w:style>
  <w:style w:type="paragraph" w:styleId="Heading2">
    <w:name w:val="Heading 2"/>
    <w:basedOn w:val="Normal"/>
    <w:next w:val="Normal"/>
    <w:qFormat/>
    <w:pPr>
      <w:spacing w:after="120" w:before="280"/>
      <w:outlineLvl w:val="1"/>
    </w:pPr>
    <w:rPr>
      <w:rFonts w:ascii="Arial" w:cs="Arial" w:eastAsia="Arial" w:hAnsi="Arial"/>
      <w:b/>
      <w:bCs/>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cc61020112c16e90c69c6d96c025de79ce9524e5.jpg"/><Relationship Id="rId8" Type="http://schemas.openxmlformats.org/officeDocument/2006/relationships/image" Target="media/f77549b8bc8e70576eed821930d70abecdbce55e.png"/><Relationship Id="rId9" Type="http://schemas.openxmlformats.org/officeDocument/2006/relationships/image" Target="media/98731b235e94d25931850aa616a3ea2a7bbc4d99.png"/><Relationship Id="rId10" Type="http://schemas.openxmlformats.org/officeDocument/2006/relationships/image" Target="media/71cf99ceaaa125755a42e1a14af49eb142481eb0.png"/><Relationship Id="rId11"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2026-04-04T09:51:43.601Z</dcterms:created>
  <dcterms:modified xsi:type="dcterms:W3CDTF">2026-04-04T09:51:43.601Z</dcterms:modified>
</cp:coreProperties>
</file>

<file path=docProps/custom.xml><?xml version="1.0" encoding="utf-8"?>
<Properties xmlns="http://schemas.openxmlformats.org/officeDocument/2006/custom-properties" xmlns:vt="http://schemas.openxmlformats.org/officeDocument/2006/docPropsVTypes"/>
</file>